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4FFA" w14:textId="77777777" w:rsidR="0005116B" w:rsidRPr="0005116B" w:rsidRDefault="0005116B" w:rsidP="0005116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05116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PESQUISA DE MERCADO</w:t>
      </w:r>
    </w:p>
    <w:p w14:paraId="037CE83D" w14:textId="234D656A" w:rsidR="0005116B" w:rsidRPr="0005116B" w:rsidRDefault="0005116B" w:rsidP="0005116B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10265" w:type="dxa"/>
        <w:tblBorders>
          <w:top w:val="single" w:sz="6" w:space="0" w:color="646464"/>
          <w:bottom w:val="single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5028"/>
      </w:tblGrid>
      <w:tr w:rsidR="0005116B" w:rsidRPr="0005116B" w14:paraId="6D89619E" w14:textId="77777777" w:rsidTr="0005116B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2B66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ORGÃO</w:t>
            </w:r>
          </w:p>
          <w:p w14:paraId="3E1BCD95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color w:val="000000"/>
                <w:lang w:eastAsia="pt-BR"/>
              </w:rPr>
              <w:t>Conselho Federal de Nutricionistas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ABB0" w14:textId="7F5A65EF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05116B" w:rsidRPr="0005116B" w14:paraId="02B11FB5" w14:textId="77777777" w:rsidTr="0005116B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CCB4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SETOR REQUISITANTE </w:t>
            </w:r>
          </w:p>
          <w:p w14:paraId="3123FB38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color w:val="000000"/>
                <w:lang w:eastAsia="pt-BR"/>
              </w:rPr>
              <w:t>Unidade de Gestão Operacional do CFN (UGO)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676A" w14:textId="4A057C68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E6A04" w:rsidRPr="0005116B" w14:paraId="2B37484C" w14:textId="77777777" w:rsidTr="00D0575E">
        <w:tc>
          <w:tcPr>
            <w:tcW w:w="10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C05A" w14:textId="77777777" w:rsidR="00CE6A04" w:rsidRPr="0005116B" w:rsidRDefault="00CE6A04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ASSUNTO:</w:t>
            </w:r>
          </w:p>
          <w:p w14:paraId="35C03ED5" w14:textId="58B3A8AA" w:rsidR="00CE6A04" w:rsidRPr="0005116B" w:rsidRDefault="00CE6A04" w:rsidP="00CE6A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Contratação de empresa especializada na área da informática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65634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para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65634A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serviços de suporte técnico</w:t>
            </w:r>
            <w:r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t-BR"/>
              </w:rPr>
              <w:t>, conforme objeto e especificações a seguir.</w:t>
            </w:r>
            <w:r w:rsidRPr="0005116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05116B" w:rsidRPr="0005116B" w14:paraId="4EB7C553" w14:textId="77777777" w:rsidTr="0005116B"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D5A10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EMAIL PARA CONTATO</w:t>
            </w:r>
          </w:p>
          <w:p w14:paraId="00D4D21C" w14:textId="25290948" w:rsidR="0005116B" w:rsidRPr="0005116B" w:rsidRDefault="00104EA1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gilbela</w:t>
            </w:r>
            <w:r w:rsidR="005F4C39">
              <w:rPr>
                <w:rFonts w:ascii="Calibri" w:eastAsia="Times New Roman" w:hAnsi="Calibri" w:cs="Calibri"/>
                <w:color w:val="000000"/>
                <w:lang w:eastAsia="pt-B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</w:t>
            </w:r>
            <w:r w:rsidR="0005116B" w:rsidRPr="0005116B">
              <w:rPr>
                <w:rFonts w:ascii="Calibri" w:eastAsia="Times New Roman" w:hAnsi="Calibri" w:cs="Calibri"/>
                <w:color w:val="000000"/>
                <w:lang w:eastAsia="pt-BR"/>
              </w:rPr>
              <w:t>@cfn.org.br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D3BC9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</w:t>
            </w:r>
          </w:p>
          <w:p w14:paraId="683B8705" w14:textId="77777777" w:rsidR="0005116B" w:rsidRPr="0005116B" w:rsidRDefault="0005116B" w:rsidP="0005116B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5116B">
              <w:rPr>
                <w:rFonts w:ascii="Calibri" w:eastAsia="Times New Roman" w:hAnsi="Calibri" w:cs="Calibri"/>
                <w:color w:val="000000"/>
                <w:lang w:eastAsia="pt-BR"/>
              </w:rPr>
              <w:t>(61) 3225-6027</w:t>
            </w:r>
          </w:p>
        </w:tc>
      </w:tr>
    </w:tbl>
    <w:p w14:paraId="40B90E07" w14:textId="2A55534C" w:rsidR="00A34798" w:rsidRDefault="00A34798"/>
    <w:p w14:paraId="0BD7AB05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OBJETO</w:t>
      </w:r>
    </w:p>
    <w:p w14:paraId="6BC88441" w14:textId="4C8B759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Contratação de empresa especializada na área da informática para serviços de suporte técnico; manutenções de dispositivos físicos; manutenções e gerenciamento da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infra-estrutura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de rede física e lógica; instalação, configuração e operação de softwares e serviços; gerenciamento de ativos de rede, links de telecomunicações e backup; e atendimento e suporte aos usuários no uso do ambiente de trabalho</w:t>
      </w: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.</w:t>
      </w:r>
    </w:p>
    <w:p w14:paraId="0686AB27" w14:textId="3E3098AB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7609C4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 DOS SERVIÇOS</w:t>
      </w:r>
    </w:p>
    <w:p w14:paraId="50576671" w14:textId="28A27495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strike/>
          <w:color w:val="FF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2.1. Os serviços técnicos na área de informática a disposição do Conselho Federal de Nutricionista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- CFN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deverão ser prestados seguindo orientações, condições, roteiros e procedimentos </w:t>
      </w:r>
      <w:r w:rsidRP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estabelecidos </w:t>
      </w:r>
      <w:r w:rsidRPr="00DC1206">
        <w:rPr>
          <w:rFonts w:ascii="Calibri" w:eastAsia="Times New Roman" w:hAnsi="Calibri" w:cs="Calibri"/>
          <w:color w:val="000000" w:themeColor="text1"/>
          <w:sz w:val="27"/>
          <w:szCs w:val="27"/>
          <w:lang w:eastAsia="pt-BR"/>
        </w:rPr>
        <w:t>pela unidade de tecnologia do CFN, ou equivalente</w:t>
      </w:r>
      <w:r w:rsidRP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</w:p>
    <w:p w14:paraId="108B2348" w14:textId="42623BBF" w:rsidR="00DC1206" w:rsidRPr="0065634A" w:rsidRDefault="00DC1206" w:rsidP="00DC12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92A11A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2.2. Os equipamentos estão distribuídos na sede do Conselho Federal de Nutricionistas, onde deverão ser executados os serviços.</w:t>
      </w:r>
    </w:p>
    <w:p w14:paraId="7DF34F5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2.3. Os serviços consistem em:</w:t>
      </w:r>
    </w:p>
    <w:p w14:paraId="7A378E2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054537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2.4.1. Serviços de suporte técnico em serviços/programas</w:t>
      </w:r>
    </w:p>
    <w:p w14:paraId="7E11EC97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 Instalação, implantação, configuração, gerenciamento, monitoramento, manutenção, remanejamento e outras atividades correlatas a recursos de TI, dos quais destacam-se, mas não exclusivamente: microcomputadores,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notebooks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periféricos, servidores, 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storages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NAS, ativos e recursos de rede, conectividade, impressão, digitalização, projeção, elétrica e suplementação elétrica, como estabilizadores, </w:t>
      </w:r>
      <w:proofErr w:type="spellStart"/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no-breaks</w:t>
      </w:r>
      <w:proofErr w:type="spellEnd"/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 xml:space="preserve"> e baterias, 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banco de dados e e-mail;</w:t>
      </w:r>
    </w:p>
    <w:p w14:paraId="10AE553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2.4.1.2 Execução de tarefas de suporte à conectividade e ativos de rede, bem como instalação e configuração dos mesmos;</w:t>
      </w:r>
    </w:p>
    <w:p w14:paraId="0B0707D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2.4.1.3 Manutenção preventiva e corretiva dos recursos de TI, envolvendo a revisão de componentes, otimização de software, formatações e restaurações, organização de cabos, limpeza interna e externa, resolução de problemas e eliminação de defeitos de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hardware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montagem, desmontagem, substituição de placas e componentes;</w:t>
      </w:r>
    </w:p>
    <w:p w14:paraId="27C501E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2.4.1.4 Testes funcionais, sistêmicos e de operação dos recursos de TI;</w:t>
      </w:r>
    </w:p>
    <w:p w14:paraId="4BE5B36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2.4.1.5 Realização e atualização do inventário dos recursos de TI, utilizando ferramentas indicadas pela empresa e homologadas pelo CFN.</w:t>
      </w:r>
    </w:p>
    <w:p w14:paraId="461F9B9B" w14:textId="5796812B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2.4.1.6 Planejamento, implementação, configuração, manutenção e monitoramento de tarefas de administração e suporte aos servidores embarcados com Windows Server,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Freenas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Truenas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), Linux,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Proxmox</w:t>
      </w:r>
      <w:proofErr w:type="spellEnd"/>
      <w:r w:rsid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 VMware ESXI, bem como a instalação e configuração de serviços nesses servidores, quando solicitados pel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</w:t>
      </w:r>
      <w:r w:rsidRP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CFN ou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mediante necessidade de realização de ação técnica preventiva, corretiva ou evolutiva;</w:t>
      </w:r>
    </w:p>
    <w:p w14:paraId="45A15D74" w14:textId="6B385525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2.4.1.7 Configuração, manutenção e monitoramento do funcionamento dos serviços de e-mail (SMTP, POP e IMAP), bem como e-mail marketing;</w:t>
      </w:r>
    </w:p>
    <w:p w14:paraId="5A8B044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2.4.1.8 Configuração, manutenção e monitoramento dos serviços em nuvem do CFN;</w:t>
      </w:r>
    </w:p>
    <w:p w14:paraId="2231040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2.4.1.9 Implementação, configuração, manutenção e monitoramento dos serviços específicos de AD, DHCP, DNS, VPN, FILESERVER, WSUS, RDP, ou outros que se fizerem necessários quando solicitados pelo CFN, em ambiente Windows Server 2012, 2019 ou posteriores;</w:t>
      </w:r>
    </w:p>
    <w:p w14:paraId="4D740BE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2.4.1.10 Implementação, configuração, migração, manutenção e monitoramento dos serviços de virtualização, incluindo a criação, administração e backup de máquinas virtuais;</w:t>
      </w:r>
    </w:p>
    <w:p w14:paraId="77FA9AAD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2.4.1.11 Implementação, configuração, manutenção e monitoramento dos serviços NAS;</w:t>
      </w:r>
    </w:p>
    <w:p w14:paraId="640CCA4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2.4.1.12 Implementação, configuração, manutenção e monitoramento diário dos sistemas de rotinas, em especial rotinas de backup, dos servidores e serviços;</w:t>
      </w:r>
    </w:p>
    <w:p w14:paraId="59B98B5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2.4.1.13 Instalação, configuração, manutenção e monitoramento do funcionamento de solução de antivírus centralizado baseado em tecnologia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Bitdefender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incluindo a emissão de relatórios, varredura e remoção de vírus;</w:t>
      </w:r>
    </w:p>
    <w:p w14:paraId="3E24731C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2.4.1.14 Manter atualizado programas, sistemas operacionais e antivírus;</w:t>
      </w:r>
    </w:p>
    <w:p w14:paraId="1760CA79" w14:textId="2F230063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2.4.1.15 Implementação e configuração de softwares de uso corriqueiro necessário </w:t>
      </w:r>
      <w:r w:rsidRP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às atividades;</w:t>
      </w:r>
    </w:p>
    <w:p w14:paraId="77443A8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2.4.1.16 Os serviços serão prestados em todos os equipamentos que compõem o parque de informática do CFN, à exceção daqueles cuja manutenção seja objeto de contrato específico;</w:t>
      </w:r>
    </w:p>
    <w:p w14:paraId="0F8549B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768FB9F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lastRenderedPageBreak/>
        <w:t>2.4.2. Serviços de manutenção física e administrativa da rede e da segurança da informação</w:t>
      </w:r>
    </w:p>
    <w:p w14:paraId="6189C0F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2.4.2.1 Administração, configuração e monitoramento das redes locais;</w:t>
      </w:r>
    </w:p>
    <w:p w14:paraId="7CBC215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2.4.2.2 Executar atividades em cabeamento estruturado: levantamento, identificação, ativação, manutenção e remanejamento de pontos, testes de cabos lógicos e substituição destes quando necessário;</w:t>
      </w:r>
    </w:p>
    <w:p w14:paraId="5857D22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2.4.2.3 Organizar, agrupar, identificar, fixar e etiquetar cabos nos racks, patch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panel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switch e servidores;</w:t>
      </w:r>
    </w:p>
    <w:p w14:paraId="3C253FC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2.4.2.4 Implementação, configuração, manutenção e monitoramento dos serviços de Rede SAN, LAN, WAN;</w:t>
      </w:r>
    </w:p>
    <w:p w14:paraId="7C0CEF4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2.4.2.5 Implementação, configuração, manutenção e monitoramento dos ativos de rede;</w:t>
      </w:r>
    </w:p>
    <w:p w14:paraId="1743D71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2.4.2.6 Administração de switches gerenciados incluindo a criação e administração de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VLANs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com a segmentação de redes de servidores, </w:t>
      </w:r>
      <w:proofErr w:type="spellStart"/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storages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usuários e acesso externo;</w:t>
      </w:r>
    </w:p>
    <w:p w14:paraId="209FBA5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2.4.2.7 Implementação, configuração, manutenção e monitoramento de mecanismos de segurança da informação nos recursos de TI;</w:t>
      </w:r>
    </w:p>
    <w:p w14:paraId="2ABD6B4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2.4.2.8 Configuração, manutenção e monitoramento dos links de comunicação de dados e voz;</w:t>
      </w:r>
    </w:p>
    <w:p w14:paraId="3FC99FC5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2.4.2.9 Implementação e configuração de softwares e equipamentos de uso corriqueiro para controle e administração da rede de comunicação de dados;</w:t>
      </w:r>
    </w:p>
    <w:p w14:paraId="350310A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2.4.2.10 Auxiliar na instalação de correções de softwares e sistemas operacionais;</w:t>
      </w:r>
    </w:p>
    <w:p w14:paraId="51A2801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219507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2.4.3. Serviços de atendimento e apoio aos usuários</w:t>
      </w:r>
    </w:p>
    <w:p w14:paraId="002FE794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2.4.3.1 Atendimento ao usuário presencial ou remoto (por telefone, correio eletrônico ou software de gerenciamento remoto, a exemplo de conexão RDP, VNC,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TeamViewer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 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Anydesk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);</w:t>
      </w:r>
    </w:p>
    <w:p w14:paraId="48D3DB27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2.4.3.2 Apoio técnico aos recursos de TI 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softwares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 resolução de dúvidas e problemas, formas de uso e orientações técnicas;</w:t>
      </w:r>
    </w:p>
    <w:p w14:paraId="028B3E77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2.4.3.3 Orientações a usuários quanto às normas e procedimentos técnicos e de segurança da informação, relativos à utilização dos recursos de TI;</w:t>
      </w:r>
    </w:p>
    <w:p w14:paraId="32E80E2F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2.4.3.4 Instalação e configuração de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softwares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, dos quais destacam-se, mas não exclusivamente, Microsoft Office, Google Chrome, Mozilla Firefox,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Winzip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ou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Winrar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Adobe Reader, e outros que se fizerem necessários;</w:t>
      </w:r>
    </w:p>
    <w:p w14:paraId="0B74E85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2.4.3.5 O serviço de atendimento ao usuário de forma remota é exclusivo para resolução de dúvidas, orientações técnicas ou formas de uso de equipamentos 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softwares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 Neste caso, fica a cargo do usuário optar pelo atendimento presencial ou remoto.</w:t>
      </w:r>
    </w:p>
    <w:p w14:paraId="1F01EBC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2.4.4. Controle de chamados técnicos</w:t>
      </w:r>
    </w:p>
    <w:p w14:paraId="27BE3404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2.4.4.1 Os atendimentos ao CFN devem ser realizados por meio de chamados, em sistema específico da empresa ou outro mecanismo protocolar, como e-mail, mensagem de texto ou aplicativo, ou via telefone.</w:t>
      </w:r>
    </w:p>
    <w:p w14:paraId="46DE3C5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2.4.4.2 Registro, triagem e demais controles relativos ao chamado técnico e aos procedimentos adotados para a solução do mesmo, bem como eventuais pendências, em Sistema de Controle de Atendimento, fornecido pela empresa;</w:t>
      </w:r>
    </w:p>
    <w:p w14:paraId="56BCD87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2.4.4.3 Registro da satisfação dos usuários através de pesquisas na finalização do atendimento;</w:t>
      </w:r>
    </w:p>
    <w:p w14:paraId="25C98D2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2.4.4.4 Emissão, quando solicitado pelo CFN, de relatórios com informações sobre: detalhamento estatístico dos atendimentos realizados, análise de tendência sobre a performance e a disponibilidade das demandas, relatórios de atendimento, de encaminhamento para solução, de reincidência de problemas no mesmo equipamento, de atendimento de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hardware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software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por área, de controle da solução e registro de chamadas, de controle do patrimônio de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hardware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a partir de inventário;</w:t>
      </w:r>
    </w:p>
    <w:p w14:paraId="4037BF12" w14:textId="6CD2A576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2.4.4.5 Reportar informações sobre equipamentos, áreas e usuários com maior incidência de problemas, quando solicitado pelo CFN;</w:t>
      </w:r>
    </w:p>
    <w:p w14:paraId="35A9E317" w14:textId="3AE86B88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2.4.4.6 Os atendimentos aos chamados técnicos e </w:t>
      </w:r>
      <w:r w:rsidRPr="00DC1206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à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verificação de defeitos nos equipamentos deverão ser executados inclusive em novos equipamentos adquiridos pelo CFN no período de garantia, ainda que não constem na relação de equipamentos do ANEXO I.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Neste caso, o Técnico fará a verificação obedecendo aos termos da garantia</w:t>
      </w:r>
      <w:r w:rsidR="0005116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entregando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relatório</w:t>
      </w:r>
      <w:r w:rsidR="0005116B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ao CFN.</w:t>
      </w:r>
    </w:p>
    <w:p w14:paraId="370C886F" w14:textId="77777777" w:rsidR="00DC1206" w:rsidRDefault="00DC1206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094287C5" w14:textId="1148F5DB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 FORMA DE EXECUÇÃO</w:t>
      </w:r>
    </w:p>
    <w:p w14:paraId="585F3714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3.1. A empresa deverá manter a disposição do CFN:</w:t>
      </w:r>
    </w:p>
    <w:p w14:paraId="57D0E20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01 (um) Supervisor Técnico, observando-se os requisitos de qualificação e experiência listados no item 3.7.1., alíneas ‘b’, e ‘c’;</w:t>
      </w:r>
    </w:p>
    <w:p w14:paraId="037C896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3.2. A contratada deverá manter presencialmente nas instalações do CFN, uma equipe formada por:</w:t>
      </w:r>
    </w:p>
    <w:p w14:paraId="5BB0F4BC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a) Ao menos 1 (um) Técnico de Manutenção, observando-se os requisitos de qualificação e experiência listados no item 3.7.1., alíneas ‘b’;</w:t>
      </w:r>
    </w:p>
    <w:p w14:paraId="2EA9BDD8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b) Ao menos 1 (um) Técnico em Administração de Rede, observando-se os requisitos de qualificação e experiência listados no item </w:t>
      </w:r>
      <w:proofErr w:type="gram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3.7.1.,alínea</w:t>
      </w:r>
      <w:proofErr w:type="gram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‘a’;</w:t>
      </w:r>
    </w:p>
    <w:p w14:paraId="40E4D06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3.3. Será aceita sobreposição de funções para Técnico de Manutenção e Técnico em Administração de Rede. Ou seja, um profissional poderá desempenhar 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cumulativamente as funções para Técnico de Manutenção e Técnico em Administração de Rede, observando-se os requisitos de qualificação e experiência exigidas para cada especialidade.</w:t>
      </w:r>
    </w:p>
    <w:p w14:paraId="251AC29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 Competirá ao SUPERVISOR TÉCNICO:</w:t>
      </w:r>
    </w:p>
    <w:p w14:paraId="0EA84B9D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3.4.1. Realizar controles de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freqüência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zelar por manter a jornada de trabalho dos técnicos em 40 horas de trabalho, respeitando horários de entrada e saída.</w:t>
      </w:r>
    </w:p>
    <w:p w14:paraId="69698C5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3.4.2. Coordenar as atividades dos Técnicos de Manutenção, Técnicos em Administração de Redes, e responder diretamente pelo desenvolvimento das atividades desta solicitação junto ao CFN;</w:t>
      </w:r>
    </w:p>
    <w:p w14:paraId="1138E7C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3.4.3. Orientar os técnicos quanto ao atendimento aos usuários e à resolução dos chamados técnicos, e serviços previstos;</w:t>
      </w:r>
    </w:p>
    <w:p w14:paraId="4F217E4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3.4.4. Coordenar, distribuir e acompanhar os chamados técnicos, monitorando o tempo de atendimento e a solução dos problemas;</w:t>
      </w:r>
    </w:p>
    <w:p w14:paraId="52F6960D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3.4.5. Repassar aos técnicos as orientações do CFN;</w:t>
      </w:r>
    </w:p>
    <w:p w14:paraId="58E76144" w14:textId="0AD404B3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3.4.6. Coordenar pesquisas para diagnóstico dos problemas mais </w:t>
      </w:r>
      <w:r w:rsidR="00501FB2"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frequentes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no uso dos equipamentos de microinformática e de rede, sugerindo ações que viabilizem a redução de ocorrências;</w:t>
      </w:r>
    </w:p>
    <w:p w14:paraId="3F8B40CD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3.4.7. Coordenar pesquisas de satisfação, periodicamente através de formulários </w:t>
      </w:r>
      <w:r w:rsidRPr="0065634A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pt-BR"/>
        </w:rPr>
        <w:t>web</w:t>
      </w: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e/ou e-mail;</w:t>
      </w:r>
    </w:p>
    <w:p w14:paraId="5C41BCC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3.4.8. Promover melhoria nos procedimentos de atendimento técnico visando redução no tempo de atendimento e melhoria na qualidade dos serviços prestados, adotando, quando possível, medidas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pró-ativas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para evitar reincidência ou novas incidências de chamados de mesma natureza, conforme recomendações do ITIL;</w:t>
      </w:r>
    </w:p>
    <w:p w14:paraId="60F51DD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3.4.9. Desenvolver outras atividades de gerência ligadas aos serviços de manutenção corretiva, preventiva, de rede, de programas e de controle e atendimento de chamados, objetos desta solicitação, designadas pelo CFN;</w:t>
      </w:r>
    </w:p>
    <w:p w14:paraId="3687071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3.4.10. Deverá ter todas as qualificações exigidas para um técnico de manutenção.</w:t>
      </w:r>
    </w:p>
    <w:p w14:paraId="7526ECF7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3.5. Competirá ao TÉCNICO DE MANUTENÇÃO:</w:t>
      </w:r>
    </w:p>
    <w:p w14:paraId="715DBF1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3.5.1. Realizar busca e transporte de equipamentos, limpeza e organização da área destinada à manutenção de equipamentos de informática e demais atividades correlatas determinadas quando solicitado pelo CFN;</w:t>
      </w:r>
    </w:p>
    <w:p w14:paraId="347966E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3.5.2. Executar as atividades de manutenção no objeto desta solicitação e serviços previstos nos itens 2.4.1., 2.4.3., e 2.4.4, de acordo com as prioridades e orientações dadas pelo Supervisor Técnico;</w:t>
      </w:r>
    </w:p>
    <w:p w14:paraId="306E25C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3.5.3. Responder diretamente pelo desenvolvimento de suas respectivas atividades junto ao CFN;</w:t>
      </w:r>
    </w:p>
    <w:p w14:paraId="0CAD20E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3.5.4. Executar atividades corriqueiras e pertinentes à área de informática, determinadas pelo CFN;</w:t>
      </w:r>
    </w:p>
    <w:p w14:paraId="68D452A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3.5.5. Executar as atividades de atendimento e abertura de chamados na ausência do Supervisor Técnico ou por determinação do mesmo;</w:t>
      </w:r>
    </w:p>
    <w:p w14:paraId="3473998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3.6. Competirá ao TÉCNICO EM ADMINISTRAÇÃO DE REDES:</w:t>
      </w:r>
    </w:p>
    <w:p w14:paraId="51D48C4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3.6.1. Executar as atividades de rede no objeto desta solicitação, e serviços previstos nos subitens do item 2.4.2.;</w:t>
      </w:r>
    </w:p>
    <w:p w14:paraId="621581C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3.6.2. Prestar suporte ou apoio ao Supervisor Técnico e ao Técnico de Manutenção quando solicitado pelo CFN;</w:t>
      </w:r>
    </w:p>
    <w:p w14:paraId="6E20021C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3.6.3.  Responder diretamente pelo desenvolvimento de suas respectivas atividades junto ao CFN;</w:t>
      </w:r>
    </w:p>
    <w:p w14:paraId="5CFDD81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 REQUISITOS DOS PROFISSIONAIS ALOCADOS</w:t>
      </w:r>
    </w:p>
    <w:p w14:paraId="1156F39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3.7.1.  Os profissionais do contrato deverão possuir os seguintes requisitos:</w:t>
      </w:r>
    </w:p>
    <w:p w14:paraId="4FCBEBE1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a) Os Técnicos em Administração de Redes deverão possuir certificação MCSA – Microsoft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Certified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System Administrator e certificação LPI nível 1 – Linux Professional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Institute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ao menos 3 anos de experiência comprovada na área de administração de redes.</w:t>
      </w:r>
    </w:p>
    <w:p w14:paraId="5D24F28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b) O Supervisor Técnico e o Técnico de Manutenção deverão possuir cursos superior reconhecido pelo MEC nas áreas de informática e ao menos 3 anos de experiência comprovada na área de suporte técnico e ao usuário e administração de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hypervisors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ProxMox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VMware ESXI.</w:t>
      </w:r>
    </w:p>
    <w:p w14:paraId="6D78EC1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c) O Supervisor Técnico, além dos cursos listados na alínea anterior, deverá possuir no mínimo 20 horas de treinamento em ITIL.</w:t>
      </w:r>
    </w:p>
    <w:p w14:paraId="5305763C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3.7.2. Todos os profissionais, terão jornada semanal máxima de 40 horas, devendo cumprir horário diário de 09:00 às 12:00 e 13:00 às 18:00 horas.</w:t>
      </w:r>
    </w:p>
    <w:p w14:paraId="1395B3D7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3.7.3. A empresa deverá contemplar ao menos 1 (um) Técnico de Manutenção em regime de sobreaviso, aguardando a qualquer momento o chamado para o serviço durante o período de descanso, se houver serviço crítico completamente indisponível ou operando parcialmente. Nessa hipótese será adotado o regime de compensação de horas posterior a resolução do problema, de forma a respeitar a carga horária semanal de 40 horas;</w:t>
      </w:r>
    </w:p>
    <w:p w14:paraId="712102FD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3.7.4. O profissional em regime de sobreaviso deve iniciar o atendimento após a verificação manual ou alerta de ocorrência nos sistemas de monitoramento automático do CFN.</w:t>
      </w:r>
    </w:p>
    <w:p w14:paraId="1A7C937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3.7.5. O CFN reserva-se o direito de solicitar a empresa que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esta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convoque os profissionais para trabalharem em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úteis, nesse caso será adotado o regime de compensação de horas, de forma a respeitar a carga horária semanal de 40 horas.</w:t>
      </w:r>
    </w:p>
    <w:p w14:paraId="38329AFE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 xml:space="preserve">3.7.5.1 O CFN poderá solicitar a empresa o trabalho em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uteis por um período total de 16 horas no mês, não cumulativos;</w:t>
      </w:r>
    </w:p>
    <w:p w14:paraId="0870DCC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3.7.5.2. A solicitação para o trabalho em </w:t>
      </w:r>
      <w:proofErr w:type="spellStart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dias</w:t>
      </w:r>
      <w:proofErr w:type="spellEnd"/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não úteis não se confunde com o atendimento ao serviço crítico fora do horário de expediente, conforme o item 3.7.3;</w:t>
      </w:r>
    </w:p>
    <w:p w14:paraId="6CD2F50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3.7.6. No caso de férias dos Técnicos de Manutenção e Técnicos em Administração de Redes, haverá necessidade de substituição destes durante o período de férias.</w:t>
      </w:r>
    </w:p>
    <w:p w14:paraId="740F81A8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11EE0225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 DOS EQUIPAMENTOS FÍSICOS EM USO DO CFN</w:t>
      </w:r>
    </w:p>
    <w:p w14:paraId="72D4FF8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4.1. Dados dos equipamentos, infraestrutura e usuários do CFN. Estes números não são absolutos, podendo eventualmente possuir sensíveis divergências.</w:t>
      </w:r>
    </w:p>
    <w:p w14:paraId="705B15A9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Pontos de rede/voz: 330;</w:t>
      </w:r>
    </w:p>
    <w:p w14:paraId="715AE2E9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Notebooks em uso: 9;</w:t>
      </w:r>
    </w:p>
    <w:p w14:paraId="46C001DA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Impressoras em uso: 11;</w:t>
      </w:r>
    </w:p>
    <w:p w14:paraId="4F13CFC0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Servidores físicos em uso: 10;</w:t>
      </w:r>
    </w:p>
    <w:p w14:paraId="4615E47F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Máquinas virtuais em uso: 40;</w:t>
      </w:r>
    </w:p>
    <w:p w14:paraId="50EBBD9E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Switches em uso: 7;</w:t>
      </w:r>
    </w:p>
    <w:p w14:paraId="7ED63C4C" w14:textId="77777777" w:rsidR="0065634A" w:rsidRPr="0065634A" w:rsidRDefault="0065634A" w:rsidP="0065634A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Usuários atualmente: 36;</w:t>
      </w:r>
    </w:p>
    <w:p w14:paraId="488054F9" w14:textId="77777777" w:rsidR="00DA2C07" w:rsidRDefault="00DA2C07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</w:pPr>
    </w:p>
    <w:p w14:paraId="7BD43102" w14:textId="42BE4907" w:rsidR="0065634A" w:rsidRPr="0065634A" w:rsidRDefault="00DA2C07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A PROPOSTA DE PREÇO DEVERÁ CONTER:</w:t>
      </w:r>
    </w:p>
    <w:p w14:paraId="16690E3E" w14:textId="77777777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Nome da empresa</w:t>
      </w:r>
    </w:p>
    <w:p w14:paraId="57542562" w14:textId="77777777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CNPJ e Inscrição estadual</w:t>
      </w:r>
    </w:p>
    <w:p w14:paraId="522AF7AB" w14:textId="77777777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Validade</w:t>
      </w:r>
    </w:p>
    <w:p w14:paraId="556C3782" w14:textId="3B87A6F1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Telefone e e-mail</w:t>
      </w:r>
    </w:p>
    <w:p w14:paraId="339A4EA5" w14:textId="4BFEC69A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Valor</w:t>
      </w:r>
      <w:r w:rsidR="004E1055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mensal e anual</w:t>
      </w:r>
    </w:p>
    <w:p w14:paraId="41C7D04E" w14:textId="5E1C313C" w:rsidR="0065634A" w:rsidRPr="0065634A" w:rsidRDefault="0065634A" w:rsidP="0065634A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</w:t>
      </w:r>
    </w:p>
    <w:p w14:paraId="52FB9985" w14:textId="50392685" w:rsidR="0065634A" w:rsidRPr="0065634A" w:rsidRDefault="0065634A" w:rsidP="00656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E077BD" w14:textId="7A99A1C9" w:rsidR="0005116B" w:rsidRDefault="0005116B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sectPr w:rsidR="0005116B" w:rsidSect="0005116B">
          <w:pgSz w:w="11906" w:h="16838"/>
          <w:pgMar w:top="1417" w:right="1274" w:bottom="1417" w:left="851" w:header="708" w:footer="708" w:gutter="0"/>
          <w:cols w:space="708"/>
          <w:docGrid w:linePitch="360"/>
        </w:sectPr>
      </w:pPr>
    </w:p>
    <w:p w14:paraId="193D670C" w14:textId="342606D2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3A70821" w14:textId="77777777" w:rsidR="0065634A" w:rsidRPr="0065634A" w:rsidRDefault="0065634A" w:rsidP="0065634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5634A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I</w:t>
      </w:r>
    </w:p>
    <w:p w14:paraId="19EFD2DA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2078A826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1.1. DOS EQUIPAMENTOS EM USO NO CONSELHO FEDERAL DE NUTRICIONISTAS</w:t>
      </w:r>
    </w:p>
    <w:p w14:paraId="4FD78110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1.1. Os dados dos equipamentos abaixo relacionados não são absolutos, podendo eventualmente possuir sensíveis divergências.</w:t>
      </w:r>
    </w:p>
    <w:tbl>
      <w:tblPr>
        <w:tblW w:w="14734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835"/>
        <w:gridCol w:w="1200"/>
        <w:gridCol w:w="1092"/>
        <w:gridCol w:w="10213"/>
      </w:tblGrid>
      <w:tr w:rsidR="0065634A" w:rsidRPr="0065634A" w14:paraId="3AFCB58A" w14:textId="77777777" w:rsidTr="0005116B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197F12B0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ESTAÇÕES DE TRABALHO</w:t>
            </w:r>
          </w:p>
        </w:tc>
      </w:tr>
      <w:tr w:rsidR="0065634A" w:rsidRPr="0065634A" w14:paraId="3E903955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538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97E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1FFF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55D0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S.O.</w:t>
            </w:r>
          </w:p>
        </w:tc>
        <w:tc>
          <w:tcPr>
            <w:tcW w:w="10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B00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CONFIGURAÇÃO</w:t>
            </w:r>
          </w:p>
        </w:tc>
      </w:tr>
      <w:tr w:rsidR="0065634A" w:rsidRPr="0065634A" w14:paraId="7D9296FA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4E6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1ED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BC6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All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In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One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DBD7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Windows 10</w:t>
            </w:r>
          </w:p>
        </w:tc>
        <w:tc>
          <w:tcPr>
            <w:tcW w:w="10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713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Processador- 6ª geração do Processador Intel® Core i5-6200U Sistema operacional - Windows 10 Professional, 64 bits - em Português (Brasil) Microsoft® Office Home &amp; Business </w:t>
            </w:r>
            <w:proofErr w:type="gram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2016  Monitor</w:t>
            </w:r>
            <w:proofErr w:type="gram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Tela LED Full HD IPS de 23.8 polegadas, Memória 8GB, Single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Channel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DDR3, 1600MHz (1 X 8GB) Disco rígido de 1TB (5400 RPM) Placa de vídeo integrada Intel® HD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Graphics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Leitor e Gravador de CD/DVD (DVD-RW 8x) Teclado e Mouse Wireless - em Português (Brasil)  Driver Wireless 1801 WiFi 802.11bgn + Bluetooth 4.0. Dimensões - Altura: 441.12mm (monitor e pedestal) x Largura: 576.62mm x Profundidade: 205mm (monitor e pedestal). Peso sem touchscreen: 7.06kg (15.56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lbs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). Slots de memória - 2 </w:t>
            </w:r>
            <w:proofErr w:type="gram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DIMM  Portas</w:t>
            </w:r>
            <w:proofErr w:type="gram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- Laterais (2) USB 3.0, leitor de cartão 4 em 1, (1) entrada de fones de ouvido e microfone - Traseiras (2) USB 2.0, RJ-45, áudio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Line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Out, saída de energia, (1) entrada HDMI Leitor de cartão de mídia 4 em 1 [SD, SDHC, SDXC, MMC] Chassi - Formato Computador desktop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all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-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in-one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Alimentação - Adaptador CA de 65 W 100 - 240 V AC, 50-60Hz.</w:t>
            </w:r>
          </w:p>
        </w:tc>
      </w:tr>
      <w:tr w:rsidR="0065634A" w:rsidRPr="0065634A" w14:paraId="5C7412C3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F2C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885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7FE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OptiPlex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4B8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Windows 10</w:t>
            </w:r>
          </w:p>
        </w:tc>
        <w:tc>
          <w:tcPr>
            <w:tcW w:w="10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97ED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SSD 128GB + HDD 500GB 7.200RPM, Drive óptico tipo DVD-RW, Interface de rede Intel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DualBand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2x2 802.11AC com suporte à tecnologia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vPro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KIT de teclado e mouse sem fio Dell KM636, Interface de vídeo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adcional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HDMI, Fonte de 200W de potência máxima e eficiência de 92%, Monitor Dell P2317H, Windows 10 Professional OEM no idioma PT-BR.</w:t>
            </w:r>
          </w:p>
        </w:tc>
      </w:tr>
      <w:tr w:rsidR="0065634A" w:rsidRPr="0065634A" w14:paraId="3AD2026D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AB1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780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D72A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Latitude E5270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21B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Windows 10</w:t>
            </w:r>
          </w:p>
        </w:tc>
        <w:tc>
          <w:tcPr>
            <w:tcW w:w="10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754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 CPUs x Intel(R) </w:t>
            </w:r>
            <w:proofErr w:type="gram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Core(</w:t>
            </w:r>
            <w:proofErr w:type="gram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TM) i7-6600U CPU @ 2.60GHz, Microsoft Windows 10 (10.0) Professional 64-bit (Build 14393),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Memory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Type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DDR4</w:t>
            </w: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Memory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Size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8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GBytes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, INTEL SSDSCKKF512H6 SATA 512GB</w:t>
            </w:r>
          </w:p>
        </w:tc>
      </w:tr>
    </w:tbl>
    <w:p w14:paraId="25B3D1D6" w14:textId="4B894429" w:rsidR="0005116B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C08B6DA" w14:textId="77777777" w:rsidR="0005116B" w:rsidRDefault="0005116B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 w:type="page"/>
      </w:r>
    </w:p>
    <w:p w14:paraId="5DCAE392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tbl>
      <w:tblPr>
        <w:tblW w:w="14734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874"/>
        <w:gridCol w:w="3398"/>
        <w:gridCol w:w="2187"/>
        <w:gridCol w:w="6816"/>
      </w:tblGrid>
      <w:tr w:rsidR="0065634A" w:rsidRPr="0065634A" w14:paraId="6D5A3A40" w14:textId="77777777" w:rsidTr="0005116B">
        <w:tc>
          <w:tcPr>
            <w:tcW w:w="147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7E85C818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SERVIDORES</w:t>
            </w:r>
          </w:p>
        </w:tc>
      </w:tr>
      <w:tr w:rsidR="0065634A" w:rsidRPr="0065634A" w14:paraId="4635AEBA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99B1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EB1B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B1D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66DD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S.O.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1BC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CONFIGURAÇÃO</w:t>
            </w:r>
          </w:p>
        </w:tc>
      </w:tr>
      <w:tr w:rsidR="0065634A" w:rsidRPr="0065634A" w14:paraId="5D141C54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F9D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EED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8A1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R630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7CD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VMware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Esxi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6.0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BF2B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 CPUs x Intel(R) Xeon(R) CPU E5-2640 v4 @ 2.40GHz</w:t>
            </w:r>
          </w:p>
          <w:p w14:paraId="46BB093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 95.78 GB</w:t>
            </w:r>
          </w:p>
          <w:p w14:paraId="105D0EF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7.63 TB</w:t>
            </w:r>
          </w:p>
        </w:tc>
      </w:tr>
      <w:tr w:rsidR="0065634A" w:rsidRPr="0065634A" w14:paraId="6E447543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B35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0990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7BC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R630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8FA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VMware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Esxi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6.0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DD84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 CPUs x Intel(R) Xeon(R) CPU E5-2640 v4 @ 2.40GHz</w:t>
            </w:r>
          </w:p>
          <w:p w14:paraId="679EC58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 95.78 GB</w:t>
            </w:r>
          </w:p>
          <w:p w14:paraId="510CAC8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4.36 TB</w:t>
            </w:r>
          </w:p>
        </w:tc>
      </w:tr>
      <w:tr w:rsidR="0065634A" w:rsidRPr="0065634A" w14:paraId="0D95FA86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759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EB3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649C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Dell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Storage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NX3230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995A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FreeNAS</w:t>
            </w:r>
            <w:proofErr w:type="spellEnd"/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497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6 CPUs x Intel(R) Xeon(R) CPU E5-2609 v3 @ 1.90GHz</w:t>
            </w:r>
          </w:p>
          <w:p w14:paraId="2FDF53D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 15.9GiB</w:t>
            </w:r>
          </w:p>
          <w:p w14:paraId="25A0317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Capacidade: 5.46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TiB</w:t>
            </w:r>
            <w:proofErr w:type="spellEnd"/>
          </w:p>
        </w:tc>
      </w:tr>
      <w:tr w:rsidR="0065634A" w:rsidRPr="0065634A" w14:paraId="3DCC93B4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8FD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140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095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R640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426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VMware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Esxi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6.5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289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24 CPUs x Intel(R) Xeon(R) Silver 4116 CPU @ 2.10GHz</w:t>
            </w:r>
          </w:p>
          <w:p w14:paraId="4A8DBAB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 63.63 GB</w:t>
            </w:r>
          </w:p>
          <w:p w14:paraId="3A3FD49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2.72 TB</w:t>
            </w:r>
          </w:p>
        </w:tc>
      </w:tr>
      <w:tr w:rsidR="0065634A" w:rsidRPr="0065634A" w14:paraId="04C5632A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B463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A66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02D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Scopia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Elite 6000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C56F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Linux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004D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 CPU x Intel(R) CPU E5-2620 - @ 2.0GHz</w:t>
            </w:r>
          </w:p>
          <w:p w14:paraId="336662C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 16 GB</w:t>
            </w:r>
          </w:p>
          <w:p w14:paraId="79E9433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80 GB</w:t>
            </w:r>
          </w:p>
        </w:tc>
      </w:tr>
      <w:tr w:rsidR="0065634A" w:rsidRPr="0065634A" w14:paraId="65BC2B0C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FA3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773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71AE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Scopia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Application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Server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B46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Windows Server 2012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0B5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 CPU x Intel(R) Xeon(R) CPU E3-1275 @ 3.50GHz</w:t>
            </w:r>
          </w:p>
          <w:p w14:paraId="7F7A328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 8 GB</w:t>
            </w:r>
          </w:p>
          <w:p w14:paraId="0DF0B0D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120 GB</w:t>
            </w:r>
          </w:p>
        </w:tc>
      </w:tr>
      <w:tr w:rsidR="0065634A" w:rsidRPr="0065634A" w14:paraId="2E2D3A8C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657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6F7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CFD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Pathfinder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54D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Linux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16B5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 CPU x Intel(R) Xeon(R) CPU E3-1275 @ 3.50GHz</w:t>
            </w:r>
          </w:p>
          <w:p w14:paraId="29DFC64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 8 GB</w:t>
            </w:r>
          </w:p>
          <w:p w14:paraId="08C5FAA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120 GB</w:t>
            </w:r>
          </w:p>
        </w:tc>
      </w:tr>
      <w:tr w:rsidR="0065634A" w:rsidRPr="0065634A" w14:paraId="779E95DB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E5F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73F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BB38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Gravador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Avaya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2731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Windows Server 2012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422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 CPU x Intel(R) Xeon(R) E5-2680@ 2.50GHz</w:t>
            </w:r>
          </w:p>
          <w:p w14:paraId="68175FA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 48 GB</w:t>
            </w:r>
          </w:p>
          <w:p w14:paraId="63BD7E2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2.4 TB</w:t>
            </w:r>
          </w:p>
        </w:tc>
      </w:tr>
      <w:tr w:rsidR="0065634A" w:rsidRPr="0065634A" w14:paraId="0780348F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E90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456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A391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T420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00F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VMware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Esxi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6.5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E72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16 CPUs x Intel(R) Xeon(R) CPU E5-2450 0 @ 2.10GHz</w:t>
            </w:r>
          </w:p>
          <w:p w14:paraId="759BC51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 31.96 GB</w:t>
            </w:r>
          </w:p>
          <w:p w14:paraId="73E3DC1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Capacidade: 3.61 TB</w:t>
            </w:r>
          </w:p>
        </w:tc>
      </w:tr>
      <w:tr w:rsidR="0065634A" w:rsidRPr="0065634A" w14:paraId="535EA9C5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F45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695C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F96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T420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B107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VMware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Esxi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6.5</w:t>
            </w:r>
          </w:p>
        </w:tc>
        <w:tc>
          <w:tcPr>
            <w:tcW w:w="6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C78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16 CPUs x Intel(R) Xeon(R) CPU E5-2450 0 @ 2.10GHz</w:t>
            </w:r>
          </w:p>
          <w:p w14:paraId="6048705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Memória: 47.96 GB</w:t>
            </w:r>
          </w:p>
          <w:p w14:paraId="5609DC8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Capacidade: 3.61 TB</w:t>
            </w:r>
          </w:p>
        </w:tc>
      </w:tr>
    </w:tbl>
    <w:p w14:paraId="71A3CC45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tbl>
      <w:tblPr>
        <w:tblW w:w="14659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5517"/>
        <w:gridCol w:w="4496"/>
        <w:gridCol w:w="2196"/>
      </w:tblGrid>
      <w:tr w:rsidR="0065634A" w:rsidRPr="0065634A" w14:paraId="43E3F920" w14:textId="77777777" w:rsidTr="0005116B">
        <w:tc>
          <w:tcPr>
            <w:tcW w:w="146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33E06DE0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REDE / ELÉTRICA / IMPRESSÃO / DIGITALIZAÇÃO / PROJEÇÃO</w:t>
            </w:r>
          </w:p>
        </w:tc>
      </w:tr>
      <w:tr w:rsidR="0065634A" w:rsidRPr="0065634A" w14:paraId="23CF91D9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16C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C3F3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EAA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5DF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</w:tr>
      <w:tr w:rsidR="0065634A" w:rsidRPr="0065634A" w14:paraId="03CE724A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EAA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F03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HPE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6493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OfficeConnect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8C6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Switch</w:t>
            </w:r>
          </w:p>
        </w:tc>
      </w:tr>
      <w:tr w:rsidR="0065634A" w:rsidRPr="0065634A" w14:paraId="161196EF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321B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BF4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HPE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965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OfficeConnect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1EE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Switch</w:t>
            </w:r>
          </w:p>
        </w:tc>
      </w:tr>
      <w:tr w:rsidR="0065634A" w:rsidRPr="0065634A" w14:paraId="43D1E981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8017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D771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Dlink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DA78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DSG-1210-28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FCE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Switch</w:t>
            </w:r>
          </w:p>
        </w:tc>
      </w:tr>
      <w:tr w:rsidR="0065634A" w:rsidRPr="0065634A" w14:paraId="1592630C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7C25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901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Diversos: SMS,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Techara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 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Ragtech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1B29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Diversos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4F1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Nobreak</w:t>
            </w:r>
          </w:p>
        </w:tc>
      </w:tr>
      <w:tr w:rsidR="0065634A" w:rsidRPr="0065634A" w14:paraId="0F5E4559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805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D0F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Brother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4610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Ads-2800w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878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Scanner</w:t>
            </w:r>
          </w:p>
        </w:tc>
      </w:tr>
      <w:tr w:rsidR="0065634A" w:rsidRPr="0065634A" w14:paraId="2C401E87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7321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40A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Brother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106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Mfc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-l 6902dw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4E8B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Impressora</w:t>
            </w:r>
          </w:p>
        </w:tc>
      </w:tr>
      <w:tr w:rsidR="0065634A" w:rsidRPr="0065634A" w14:paraId="5761FE82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FF26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B06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HP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A4A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Laserjet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p3015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44B1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Impressora</w:t>
            </w:r>
          </w:p>
        </w:tc>
      </w:tr>
      <w:tr w:rsidR="0065634A" w:rsidRPr="0065634A" w14:paraId="71A2C34E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DA7C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56D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Brother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2BA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HL l 6402dw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CD6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Impressora</w:t>
            </w:r>
          </w:p>
        </w:tc>
      </w:tr>
      <w:tr w:rsidR="0065634A" w:rsidRPr="0065634A" w14:paraId="582BAC89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6DD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1972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HP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0F9B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Laserjet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93BE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Impressora</w:t>
            </w:r>
          </w:p>
        </w:tc>
      </w:tr>
      <w:tr w:rsidR="0065634A" w:rsidRPr="0065634A" w14:paraId="16F1FC4E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F6A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902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Brother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DFD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Hl 4150dcn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6136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Impressora</w:t>
            </w:r>
          </w:p>
        </w:tc>
      </w:tr>
      <w:tr w:rsidR="0065634A" w:rsidRPr="0065634A" w14:paraId="6905F0A2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8F92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C201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3Com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1B8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940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Switch</w:t>
            </w:r>
          </w:p>
        </w:tc>
      </w:tr>
      <w:tr w:rsidR="0065634A" w:rsidRPr="0065634A" w14:paraId="1801C4AB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63E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46D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Epson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478D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2255U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4AF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65634A" w:rsidRPr="0065634A" w14:paraId="620F4CCE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28CE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E11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Epson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573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PowerLite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s41+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EA7F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65634A" w:rsidRPr="0065634A" w14:paraId="6699E036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2680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CE12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Epson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798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H269A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FED2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Projetor</w:t>
            </w:r>
          </w:p>
        </w:tc>
      </w:tr>
      <w:tr w:rsidR="0065634A" w:rsidRPr="0065634A" w14:paraId="513A5461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58C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A7A8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Ubiquiti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6C0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UniFi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AP AC 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EEC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Access Point</w:t>
            </w:r>
          </w:p>
        </w:tc>
      </w:tr>
      <w:tr w:rsidR="0065634A" w:rsidRPr="0065634A" w14:paraId="3A5DD978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3E72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9BD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Ubiquiti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297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Bullet-m2-hp Outdoor 2.4ghz 600mw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0AF3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Access Point</w:t>
            </w:r>
          </w:p>
        </w:tc>
      </w:tr>
      <w:tr w:rsidR="0065634A" w:rsidRPr="0065634A" w14:paraId="2D1818D3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B54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4033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Tp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-link</w:t>
            </w:r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D4B2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TL-WR849N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B52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Roteador</w:t>
            </w:r>
          </w:p>
        </w:tc>
      </w:tr>
      <w:tr w:rsidR="0065634A" w:rsidRPr="0065634A" w14:paraId="5DE345CF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273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5B37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Mercysys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5B5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MW330HP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C4E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Roteador</w:t>
            </w:r>
          </w:p>
        </w:tc>
      </w:tr>
      <w:tr w:rsidR="0065634A" w:rsidRPr="0065634A" w14:paraId="21C61103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F94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116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Multilaser</w:t>
            </w:r>
            <w:proofErr w:type="spellEnd"/>
          </w:p>
        </w:tc>
        <w:tc>
          <w:tcPr>
            <w:tcW w:w="2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475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ML-SWI-005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24A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Switch</w:t>
            </w:r>
          </w:p>
        </w:tc>
      </w:tr>
    </w:tbl>
    <w:p w14:paraId="468765D9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4660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9072"/>
        <w:gridCol w:w="3638"/>
      </w:tblGrid>
      <w:tr w:rsidR="0065634A" w:rsidRPr="0065634A" w14:paraId="6813240B" w14:textId="77777777" w:rsidTr="0005116B">
        <w:tc>
          <w:tcPr>
            <w:tcW w:w="14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535B13CB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EQUIPAMENTOS LISTADOS COM GARANTIA</w:t>
            </w:r>
          </w:p>
        </w:tc>
      </w:tr>
      <w:tr w:rsidR="0065634A" w:rsidRPr="0065634A" w14:paraId="490C2718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96E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MARCA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C251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936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GARANTIA</w:t>
            </w:r>
          </w:p>
        </w:tc>
      </w:tr>
      <w:tr w:rsidR="0065634A" w:rsidRPr="0065634A" w14:paraId="6082E9AD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4988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B14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OptiPlex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7070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1E8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Até 24/02/2025</w:t>
            </w:r>
          </w:p>
        </w:tc>
      </w:tr>
      <w:tr w:rsidR="0065634A" w:rsidRPr="0065634A" w14:paraId="37FC3C32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859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A3D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R630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283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Até 12/06/2022</w:t>
            </w:r>
          </w:p>
        </w:tc>
      </w:tr>
      <w:tr w:rsidR="0065634A" w:rsidRPr="0065634A" w14:paraId="1FF0564F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E2A8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Dell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90C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Power Edge R640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5300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Até 29/04/2022</w:t>
            </w:r>
          </w:p>
        </w:tc>
      </w:tr>
      <w:tr w:rsidR="0065634A" w:rsidRPr="0065634A" w14:paraId="0CEB6B57" w14:textId="77777777" w:rsidTr="000511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DF6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HPE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4FE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OfficeConnect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2B5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Até 14/01/2023</w:t>
            </w:r>
          </w:p>
        </w:tc>
      </w:tr>
    </w:tbl>
    <w:p w14:paraId="3E81A2D4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0E50632B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1.2. QUANTITATIVO MÉDIO DE CHAMADOS (JANEIRO DE 2020 ATÉ JUNHO DE 2021)</w:t>
      </w:r>
    </w:p>
    <w:tbl>
      <w:tblPr>
        <w:tblW w:w="14573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3"/>
        <w:gridCol w:w="1757"/>
        <w:gridCol w:w="1757"/>
        <w:gridCol w:w="2136"/>
      </w:tblGrid>
      <w:tr w:rsidR="0065634A" w:rsidRPr="0065634A" w14:paraId="138196A8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3CF910A2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Tipo de solicitações/chamados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39FFF08B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2ABBC83C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00FD6112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TOTAL</w:t>
            </w:r>
          </w:p>
        </w:tc>
      </w:tr>
      <w:tr w:rsidR="0065634A" w:rsidRPr="0065634A" w14:paraId="384DDC29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577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Instalação/Configuração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14A8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6156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01F4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</w:tr>
      <w:tr w:rsidR="0065634A" w:rsidRPr="0065634A" w14:paraId="118A38F5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3EF2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Instalação/Configuração de Servidores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985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30E0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2D3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</w:tr>
      <w:tr w:rsidR="0065634A" w:rsidRPr="0065634A" w14:paraId="6C23B285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C08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Instalação/Configuração de Scanners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FDB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4D4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4FAB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</w:tr>
      <w:tr w:rsidR="0065634A" w:rsidRPr="0065634A" w14:paraId="1F878E60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894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Instalação/Configuração de Impressoras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723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F867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7850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</w:tr>
      <w:tr w:rsidR="0065634A" w:rsidRPr="0065634A" w14:paraId="3897A11C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DC62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Instalação/Configuração de ativos/serviços de rede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9DE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9BE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AF1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65634A" w:rsidRPr="0065634A" w14:paraId="5CB9B03C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842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Implantação/Configuração de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infraestrutra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rede e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322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F745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E37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65634A" w:rsidRPr="0065634A" w14:paraId="1F8F5B26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3B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backup de dados de rede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796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0BFD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CF5D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</w:tr>
      <w:tr w:rsidR="0065634A" w:rsidRPr="0065634A" w14:paraId="7A441D8B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87CD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backup de dados de usuários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711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428F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781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</w:tr>
      <w:tr w:rsidR="0065634A" w:rsidRPr="0065634A" w14:paraId="2F62EA08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46F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74E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F08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EFAA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</w:tr>
      <w:tr w:rsidR="0065634A" w:rsidRPr="0065634A" w14:paraId="1EE6253F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8F71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vídeo conferência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2FE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6E6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9C8B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</w:tr>
      <w:tr w:rsidR="0065634A" w:rsidRPr="0065634A" w14:paraId="4A544C20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F92A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link de dados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A671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297F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46D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</w:tr>
      <w:tr w:rsidR="0065634A" w:rsidRPr="0065634A" w14:paraId="0FA15019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9382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de soluções de segurança da informação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D3F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83DD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EA1C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65634A" w:rsidRPr="0065634A" w14:paraId="5697E8D4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8BC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Configuração/Suporte Nobreak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109B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E82B4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095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65634A" w:rsidRPr="0065634A" w14:paraId="1A453AFA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FCE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Apoio/Suporte ao usuário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14B3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19A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F17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</w:tr>
      <w:tr w:rsidR="0065634A" w:rsidRPr="0065634A" w14:paraId="3E1F3324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583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Solicitação de Reunião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310A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849D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84A9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</w:tr>
      <w:tr w:rsidR="0065634A" w:rsidRPr="0065634A" w14:paraId="26D65732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CD8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Solicitação de Informação/Suporte de usuários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FCCDB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A23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A5DF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</w:tr>
      <w:tr w:rsidR="0065634A" w:rsidRPr="0065634A" w14:paraId="6F263530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BE45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Manutenção de equipamento informação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D863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031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5AE1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65634A" w:rsidRPr="0065634A" w14:paraId="19ED6722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6F45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Reparo de peças de equipamento informação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07537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C64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539C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</w:tr>
      <w:tr w:rsidR="0065634A" w:rsidRPr="0065634A" w14:paraId="71BB0943" w14:textId="77777777" w:rsidTr="0005116B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4690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D98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2FA5E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B852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899</w:t>
            </w:r>
          </w:p>
        </w:tc>
      </w:tr>
    </w:tbl>
    <w:p w14:paraId="2F5F49B3" w14:textId="77777777" w:rsidR="0065634A" w:rsidRPr="0065634A" w:rsidRDefault="0065634A" w:rsidP="0065634A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5634A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1.3. QUANTITATIVO MÉDIO DE SOLICITAÇÕES PARA TRABALHO EM DIAS NÃO ÚTEIS (JANEIRO DE 2019 ATÉ JUNHO DE 2021)</w:t>
      </w:r>
    </w:p>
    <w:tbl>
      <w:tblPr>
        <w:tblW w:w="14620" w:type="dxa"/>
        <w:tblBorders>
          <w:top w:val="outset" w:sz="6" w:space="0" w:color="646464"/>
          <w:left w:val="outset" w:sz="6" w:space="0" w:color="646464"/>
          <w:bottom w:val="outset" w:sz="6" w:space="0" w:color="646464"/>
          <w:right w:val="outset" w:sz="6" w:space="0" w:color="64646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2024"/>
        <w:gridCol w:w="2024"/>
        <w:gridCol w:w="2024"/>
        <w:gridCol w:w="2460"/>
      </w:tblGrid>
      <w:tr w:rsidR="0065634A" w:rsidRPr="0065634A" w14:paraId="1C0D73AE" w14:textId="77777777" w:rsidTr="0005116B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759B2354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Tipo de solicitações/chamados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5BA73C68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39C55B64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634FDD99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46464"/>
            <w:vAlign w:val="center"/>
            <w:hideMark/>
          </w:tcPr>
          <w:p w14:paraId="09F5215C" w14:textId="77777777" w:rsidR="0065634A" w:rsidRPr="0065634A" w:rsidRDefault="0065634A" w:rsidP="0065634A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pt-BR"/>
              </w:rPr>
              <w:t>TOTAL</w:t>
            </w:r>
          </w:p>
        </w:tc>
      </w:tr>
      <w:tr w:rsidR="0065634A" w:rsidRPr="0065634A" w14:paraId="7F38ECC6" w14:textId="77777777" w:rsidTr="0005116B"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A8F6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Solicitação para trabalho em </w:t>
            </w:r>
            <w:proofErr w:type="spellStart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dias</w:t>
            </w:r>
            <w:proofErr w:type="spellEnd"/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não úteis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BB88" w14:textId="77777777" w:rsidR="0065634A" w:rsidRPr="0065634A" w:rsidRDefault="0065634A" w:rsidP="0065634A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5634A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804C44" w14:textId="48A12DDA" w:rsidR="0065634A" w:rsidRPr="00863BD6" w:rsidRDefault="00863BD6" w:rsidP="00863BD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3BD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FA89EC" w14:textId="6A68E11B" w:rsidR="0065634A" w:rsidRPr="00863BD6" w:rsidRDefault="00863BD6" w:rsidP="00863BD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3BD6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89E593" w14:textId="4D157C75" w:rsidR="0065634A" w:rsidRPr="00863BD6" w:rsidRDefault="00863BD6" w:rsidP="00863BD6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3BD6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</w:tr>
    </w:tbl>
    <w:p w14:paraId="26695371" w14:textId="77777777" w:rsidR="0065634A" w:rsidRDefault="0065634A"/>
    <w:sectPr w:rsidR="0065634A" w:rsidSect="0005116B"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1AE"/>
    <w:multiLevelType w:val="multilevel"/>
    <w:tmpl w:val="F304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130A"/>
    <w:multiLevelType w:val="multilevel"/>
    <w:tmpl w:val="325C7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4A"/>
    <w:rsid w:val="0005116B"/>
    <w:rsid w:val="00104EA1"/>
    <w:rsid w:val="00306BFB"/>
    <w:rsid w:val="004318D4"/>
    <w:rsid w:val="004E1055"/>
    <w:rsid w:val="00501FB2"/>
    <w:rsid w:val="005F4C39"/>
    <w:rsid w:val="0065634A"/>
    <w:rsid w:val="007A76B1"/>
    <w:rsid w:val="00863BD6"/>
    <w:rsid w:val="00A34798"/>
    <w:rsid w:val="00B64C5C"/>
    <w:rsid w:val="00C95E6C"/>
    <w:rsid w:val="00CE6A04"/>
    <w:rsid w:val="00DA2C07"/>
    <w:rsid w:val="00DC1206"/>
    <w:rsid w:val="00E1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3F0C"/>
  <w15:chartTrackingRefBased/>
  <w15:docId w15:val="{BB85A316-FA2A-4B5A-B24B-4ABE879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65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634A"/>
    <w:rPr>
      <w:b/>
      <w:bCs/>
    </w:rPr>
  </w:style>
  <w:style w:type="character" w:styleId="nfase">
    <w:name w:val="Emphasis"/>
    <w:basedOn w:val="Fontepargpadro"/>
    <w:uiPriority w:val="20"/>
    <w:qFormat/>
    <w:rsid w:val="0065634A"/>
    <w:rPr>
      <w:i/>
      <w:iCs/>
    </w:rPr>
  </w:style>
  <w:style w:type="paragraph" w:customStyle="1" w:styleId="textocentralizadomaiusculasnegrito">
    <w:name w:val="texto_centralizado_maiusculas_negrito"/>
    <w:basedOn w:val="Normal"/>
    <w:rsid w:val="0065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5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65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3079</Words>
  <Characters>16629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Visitante</cp:lastModifiedBy>
  <cp:revision>12</cp:revision>
  <dcterms:created xsi:type="dcterms:W3CDTF">2021-07-21T15:03:00Z</dcterms:created>
  <dcterms:modified xsi:type="dcterms:W3CDTF">2021-07-22T14:21:00Z</dcterms:modified>
</cp:coreProperties>
</file>